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7C" w:rsidRDefault="007A2E51">
      <w:pPr>
        <w:pStyle w:val="BodyA"/>
        <w:spacing w:after="120"/>
        <w:rPr>
          <w:sz w:val="22"/>
          <w:szCs w:val="22"/>
        </w:rPr>
      </w:pPr>
      <w:r>
        <w:rPr>
          <w:rFonts w:ascii="Times New Roman"/>
          <w:sz w:val="36"/>
          <w:szCs w:val="36"/>
        </w:rPr>
        <w:t>Saratoga Electronic Solutions (</w:t>
      </w:r>
      <w:bookmarkStart w:id="0" w:name="_GoBack"/>
      <w:bookmarkEnd w:id="0"/>
      <w:r>
        <w:rPr>
          <w:rFonts w:ascii="Times New Roman"/>
          <w:sz w:val="36"/>
          <w:szCs w:val="36"/>
        </w:rPr>
        <w:t xml:space="preserve">CSE: ABA) announces agreement to acquire Blow Vapor </w:t>
      </w:r>
    </w:p>
    <w:p w:rsidR="00714F7C" w:rsidRDefault="007A2E51" w:rsidP="00F07051">
      <w:pPr>
        <w:pStyle w:val="BodyA"/>
        <w:spacing w:after="120"/>
        <w:jc w:val="both"/>
        <w:rPr>
          <w:rFonts w:ascii="Times New Roman" w:eastAsia="Times New Roman" w:hAnsi="Times New Roman" w:cs="Times New Roman"/>
          <w:sz w:val="22"/>
          <w:szCs w:val="22"/>
        </w:rPr>
      </w:pPr>
      <w:r>
        <w:rPr>
          <w:rFonts w:ascii="Times New Roman"/>
          <w:sz w:val="22"/>
          <w:szCs w:val="22"/>
        </w:rPr>
        <w:t>Toronto, Ontario, April 2</w:t>
      </w:r>
      <w:r w:rsidR="002E262D">
        <w:rPr>
          <w:rFonts w:ascii="Times New Roman"/>
          <w:sz w:val="22"/>
          <w:szCs w:val="22"/>
        </w:rPr>
        <w:t>0</w:t>
      </w:r>
      <w:r>
        <w:rPr>
          <w:rFonts w:ascii="Times New Roman"/>
          <w:sz w:val="22"/>
          <w:szCs w:val="22"/>
        </w:rPr>
        <w:t xml:space="preserve">, 2015 </w:t>
      </w:r>
      <w:r>
        <w:rPr>
          <w:rFonts w:hAnsi="Times New Roman"/>
          <w:sz w:val="22"/>
          <w:szCs w:val="22"/>
        </w:rPr>
        <w:t>–</w:t>
      </w:r>
      <w:r w:rsidR="002E262D">
        <w:rPr>
          <w:rFonts w:hAnsi="Times New Roman"/>
          <w:sz w:val="22"/>
          <w:szCs w:val="22"/>
        </w:rPr>
        <w:t xml:space="preserve"> </w:t>
      </w:r>
      <w:r>
        <w:rPr>
          <w:rFonts w:ascii="Times New Roman"/>
          <w:sz w:val="22"/>
          <w:szCs w:val="22"/>
        </w:rPr>
        <w:t xml:space="preserve">Saratoga Electronic Solutions Inc., </w:t>
      </w:r>
      <w:r>
        <w:rPr>
          <w:rFonts w:hAnsi="Times New Roman"/>
          <w:sz w:val="22"/>
          <w:szCs w:val="22"/>
        </w:rPr>
        <w:t>“</w:t>
      </w:r>
      <w:r>
        <w:rPr>
          <w:rFonts w:ascii="Times New Roman"/>
          <w:sz w:val="22"/>
          <w:szCs w:val="22"/>
        </w:rPr>
        <w:t>Saratoga</w:t>
      </w:r>
      <w:r>
        <w:rPr>
          <w:rFonts w:hAnsi="Times New Roman"/>
          <w:sz w:val="22"/>
          <w:szCs w:val="22"/>
        </w:rPr>
        <w:t>”</w:t>
      </w:r>
      <w:r>
        <w:rPr>
          <w:rFonts w:ascii="Times New Roman"/>
          <w:sz w:val="22"/>
          <w:szCs w:val="22"/>
        </w:rPr>
        <w:t xml:space="preserve">, or the </w:t>
      </w:r>
      <w:r>
        <w:rPr>
          <w:rFonts w:hAnsi="Times New Roman"/>
          <w:sz w:val="22"/>
          <w:szCs w:val="22"/>
        </w:rPr>
        <w:t>“</w:t>
      </w:r>
      <w:r>
        <w:rPr>
          <w:rFonts w:ascii="Times New Roman"/>
          <w:sz w:val="22"/>
          <w:szCs w:val="22"/>
        </w:rPr>
        <w:t>Company</w:t>
      </w:r>
      <w:r>
        <w:rPr>
          <w:rFonts w:hAnsi="Times New Roman"/>
          <w:sz w:val="22"/>
          <w:szCs w:val="22"/>
        </w:rPr>
        <w:t>”</w:t>
      </w:r>
      <w:r>
        <w:rPr>
          <w:rFonts w:ascii="Times New Roman"/>
          <w:sz w:val="22"/>
          <w:szCs w:val="22"/>
        </w:rPr>
        <w:t xml:space="preserve">) (CSE: ABA) is pleased to announce that it has entered into a binding Memorandum of Understanding (the </w:t>
      </w:r>
      <w:r>
        <w:rPr>
          <w:rFonts w:hAnsi="Times New Roman"/>
          <w:sz w:val="22"/>
          <w:szCs w:val="22"/>
        </w:rPr>
        <w:t>“</w:t>
      </w:r>
      <w:r>
        <w:rPr>
          <w:rFonts w:ascii="Times New Roman"/>
          <w:sz w:val="22"/>
          <w:szCs w:val="22"/>
        </w:rPr>
        <w:t>Agreement</w:t>
      </w:r>
      <w:r>
        <w:rPr>
          <w:rFonts w:hAnsi="Times New Roman"/>
          <w:sz w:val="22"/>
          <w:szCs w:val="22"/>
        </w:rPr>
        <w:t>”</w:t>
      </w:r>
      <w:r>
        <w:rPr>
          <w:rFonts w:ascii="Times New Roman"/>
          <w:sz w:val="22"/>
          <w:szCs w:val="22"/>
        </w:rPr>
        <w:t>) with 2457513 Ontario Ltd.  (</w:t>
      </w:r>
      <w:r>
        <w:rPr>
          <w:rFonts w:hAnsi="Times New Roman"/>
          <w:sz w:val="22"/>
          <w:szCs w:val="22"/>
        </w:rPr>
        <w:t>“</w:t>
      </w:r>
      <w:r>
        <w:rPr>
          <w:rFonts w:ascii="Times New Roman"/>
          <w:sz w:val="22"/>
          <w:szCs w:val="22"/>
        </w:rPr>
        <w:t>2457513</w:t>
      </w:r>
      <w:r>
        <w:rPr>
          <w:rFonts w:hAnsi="Times New Roman"/>
          <w:sz w:val="22"/>
          <w:szCs w:val="22"/>
        </w:rPr>
        <w:t>”</w:t>
      </w:r>
      <w:r>
        <w:rPr>
          <w:rFonts w:ascii="Times New Roman"/>
          <w:sz w:val="22"/>
          <w:szCs w:val="22"/>
        </w:rPr>
        <w:t xml:space="preserve">) and Blow Canada Inc. </w:t>
      </w:r>
      <w:r w:rsidR="00B73175">
        <w:rPr>
          <w:rFonts w:ascii="Times New Roman"/>
          <w:sz w:val="22"/>
          <w:szCs w:val="22"/>
        </w:rPr>
        <w:t>(</w:t>
      </w:r>
      <w:r w:rsidR="00B73175">
        <w:rPr>
          <w:rFonts w:ascii="Times New Roman"/>
          <w:sz w:val="22"/>
          <w:szCs w:val="22"/>
        </w:rPr>
        <w:t>“</w:t>
      </w:r>
      <w:r w:rsidR="00B73175">
        <w:rPr>
          <w:rFonts w:ascii="Times New Roman"/>
          <w:sz w:val="22"/>
          <w:szCs w:val="22"/>
        </w:rPr>
        <w:t>Blow Canada</w:t>
      </w:r>
      <w:r w:rsidR="00B73175">
        <w:rPr>
          <w:rFonts w:ascii="Times New Roman"/>
          <w:sz w:val="22"/>
          <w:szCs w:val="22"/>
        </w:rPr>
        <w:t>”</w:t>
      </w:r>
      <w:r w:rsidR="00B73175">
        <w:rPr>
          <w:rFonts w:ascii="Times New Roman"/>
          <w:sz w:val="22"/>
          <w:szCs w:val="22"/>
        </w:rPr>
        <w:t xml:space="preserve">) </w:t>
      </w:r>
      <w:r>
        <w:rPr>
          <w:rFonts w:ascii="Times New Roman"/>
          <w:sz w:val="22"/>
          <w:szCs w:val="22"/>
        </w:rPr>
        <w:t xml:space="preserve">to acquire all the issued and outstanding shares of 2457513 immediately following the acquisition by 2457513 of all the assets of Blow Canada </w:t>
      </w:r>
      <w:r w:rsidR="00F84783">
        <w:rPr>
          <w:rFonts w:ascii="Times New Roman"/>
          <w:sz w:val="22"/>
          <w:szCs w:val="22"/>
        </w:rPr>
        <w:t>including the shares of</w:t>
      </w:r>
      <w:r>
        <w:rPr>
          <w:rFonts w:ascii="Times New Roman"/>
          <w:sz w:val="22"/>
          <w:szCs w:val="22"/>
        </w:rPr>
        <w:t xml:space="preserve"> its US subsidiary, Blow Vapor Inc. (</w:t>
      </w:r>
      <w:r w:rsidR="004E099E">
        <w:rPr>
          <w:rFonts w:ascii="Times New Roman"/>
          <w:sz w:val="22"/>
          <w:szCs w:val="22"/>
        </w:rPr>
        <w:t xml:space="preserve">2457513, Blow Canada and Blow Vapor </w:t>
      </w:r>
      <w:r w:rsidR="002E262D">
        <w:rPr>
          <w:rFonts w:ascii="Times New Roman"/>
          <w:sz w:val="22"/>
          <w:szCs w:val="22"/>
        </w:rPr>
        <w:t>Inc.</w:t>
      </w:r>
      <w:r w:rsidR="004E099E">
        <w:rPr>
          <w:rFonts w:ascii="Times New Roman"/>
          <w:sz w:val="22"/>
          <w:szCs w:val="22"/>
        </w:rPr>
        <w:t xml:space="preserve">, </w:t>
      </w:r>
      <w:r>
        <w:rPr>
          <w:rFonts w:ascii="Times New Roman"/>
          <w:sz w:val="22"/>
          <w:szCs w:val="22"/>
        </w:rPr>
        <w:t xml:space="preserve">herein collectively referred to as </w:t>
      </w:r>
      <w:r>
        <w:rPr>
          <w:rFonts w:hAnsi="Times New Roman"/>
          <w:sz w:val="22"/>
          <w:szCs w:val="22"/>
        </w:rPr>
        <w:t>“</w:t>
      </w:r>
      <w:r>
        <w:rPr>
          <w:rFonts w:ascii="Times New Roman"/>
          <w:sz w:val="22"/>
          <w:szCs w:val="22"/>
        </w:rPr>
        <w:t>Blow Vapor</w:t>
      </w:r>
      <w:r>
        <w:rPr>
          <w:rFonts w:hAnsi="Times New Roman"/>
          <w:sz w:val="22"/>
          <w:szCs w:val="22"/>
        </w:rPr>
        <w:t>”</w:t>
      </w:r>
      <w:r>
        <w:rPr>
          <w:rFonts w:ascii="Times New Roman"/>
          <w:sz w:val="22"/>
          <w:szCs w:val="22"/>
        </w:rPr>
        <w:t>).</w:t>
      </w:r>
    </w:p>
    <w:p w:rsidR="00714F7C" w:rsidRDefault="007A2E51" w:rsidP="00F07051">
      <w:pPr>
        <w:pStyle w:val="BodyA"/>
        <w:spacing w:after="120"/>
        <w:jc w:val="both"/>
        <w:rPr>
          <w:rFonts w:ascii="Times New Roman" w:eastAsia="Times New Roman" w:hAnsi="Times New Roman" w:cs="Times New Roman"/>
          <w:sz w:val="22"/>
          <w:szCs w:val="22"/>
        </w:rPr>
      </w:pPr>
      <w:r>
        <w:rPr>
          <w:rFonts w:ascii="Times New Roman"/>
          <w:sz w:val="22"/>
          <w:szCs w:val="22"/>
        </w:rPr>
        <w:t xml:space="preserve">Blow Vapor is engaged in the business of manufacturing, marketing, and distributing electronic cigarettes, e-liquids, and vaporizers. The devices emit doses of vaporized nicotine that are inhaled, and can also emit non-nicotine vaporized e-liquids, providing an alternative for tobacco smokers who want to avoid combustible tobacco products. </w:t>
      </w:r>
    </w:p>
    <w:p w:rsidR="00714F7C" w:rsidRDefault="007A2E51" w:rsidP="00F0705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imes New Roman" w:eastAsia="Times New Roman" w:hAnsi="Times New Roman" w:cs="Times New Roman"/>
        </w:rPr>
      </w:pPr>
      <w:r>
        <w:rPr>
          <w:rFonts w:ascii="Times New Roman"/>
        </w:rPr>
        <w:t xml:space="preserve">Under the terms of the Agreement, the Company shall pay to Blow </w:t>
      </w:r>
      <w:r w:rsidR="00B73175">
        <w:rPr>
          <w:rFonts w:ascii="Times New Roman"/>
        </w:rPr>
        <w:t xml:space="preserve">Canada </w:t>
      </w:r>
      <w:r>
        <w:rPr>
          <w:rFonts w:ascii="Times New Roman"/>
        </w:rPr>
        <w:t xml:space="preserve">an aggregate consideration of CDN $5,500,000 in cash and shares of the Company. Upon closing, </w:t>
      </w:r>
      <w:r w:rsidR="00356B48">
        <w:rPr>
          <w:rFonts w:ascii="Times New Roman"/>
        </w:rPr>
        <w:t xml:space="preserve">2457513 </w:t>
      </w:r>
      <w:r>
        <w:rPr>
          <w:rFonts w:ascii="Times New Roman"/>
        </w:rPr>
        <w:t>will be a wholly-owned subsidiary of the Company</w:t>
      </w:r>
      <w:r w:rsidR="00356B48">
        <w:rPr>
          <w:rFonts w:ascii="Times New Roman"/>
        </w:rPr>
        <w:t xml:space="preserve"> and Blow Vapor Inc</w:t>
      </w:r>
      <w:r>
        <w:rPr>
          <w:rFonts w:ascii="Times New Roman"/>
        </w:rPr>
        <w:t>.</w:t>
      </w:r>
      <w:r w:rsidR="00356B48">
        <w:rPr>
          <w:rFonts w:ascii="Times New Roman"/>
        </w:rPr>
        <w:t xml:space="preserve"> will be an indirect wholly-owned subsidiary of the Company.</w:t>
      </w:r>
      <w:r>
        <w:rPr>
          <w:rFonts w:ascii="Times New Roman"/>
        </w:rPr>
        <w:t xml:space="preserve"> </w:t>
      </w:r>
    </w:p>
    <w:p w:rsidR="00714F7C" w:rsidRDefault="007A2E51" w:rsidP="00F0705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imes New Roman" w:eastAsia="Times New Roman" w:hAnsi="Times New Roman" w:cs="Times New Roman"/>
        </w:rPr>
      </w:pPr>
      <w:r>
        <w:rPr>
          <w:rFonts w:ascii="Times New Roman"/>
        </w:rPr>
        <w:t>The</w:t>
      </w:r>
      <w:r w:rsidR="00B73175">
        <w:rPr>
          <w:rFonts w:ascii="Times New Roman"/>
        </w:rPr>
        <w:t xml:space="preserve"> Agreement contemplates that the consideration payable by the Company to Blow Canada </w:t>
      </w:r>
      <w:r w:rsidR="00356B48">
        <w:rPr>
          <w:rFonts w:ascii="Times New Roman"/>
        </w:rPr>
        <w:t xml:space="preserve">will be </w:t>
      </w:r>
      <w:r w:rsidR="00B73175">
        <w:rPr>
          <w:rFonts w:ascii="Times New Roman"/>
        </w:rPr>
        <w:t>comprised of the following: (a)</w:t>
      </w:r>
      <w:r>
        <w:rPr>
          <w:rFonts w:ascii="Times New Roman"/>
        </w:rPr>
        <w:t xml:space="preserve"> CDN $500,000 cash</w:t>
      </w:r>
      <w:r w:rsidR="00B73175">
        <w:rPr>
          <w:rFonts w:ascii="Times New Roman"/>
        </w:rPr>
        <w:t xml:space="preserve"> payable on closing; </w:t>
      </w:r>
      <w:r>
        <w:rPr>
          <w:rFonts w:ascii="Times New Roman"/>
        </w:rPr>
        <w:t xml:space="preserve">and </w:t>
      </w:r>
      <w:r w:rsidR="00B73175">
        <w:rPr>
          <w:rFonts w:ascii="Times New Roman"/>
        </w:rPr>
        <w:t xml:space="preserve">(b) the Company shall issue </w:t>
      </w:r>
      <w:r>
        <w:rPr>
          <w:rFonts w:ascii="Times New Roman"/>
        </w:rPr>
        <w:t>10,000,000 common shares (at a deemed value of $0.50 per share) for an aggregate value of CDN $5,000,000</w:t>
      </w:r>
      <w:r w:rsidR="00B73175">
        <w:rPr>
          <w:rFonts w:ascii="Times New Roman"/>
        </w:rPr>
        <w:t xml:space="preserve"> on closing</w:t>
      </w:r>
      <w:r>
        <w:rPr>
          <w:rFonts w:ascii="Times New Roman"/>
        </w:rPr>
        <w:t>. Of the 10,000,000 shares, 6,000,000 shares will be placed in escrow to be released in three (3) tranches as follows</w:t>
      </w:r>
      <w:r w:rsidR="00B73175">
        <w:rPr>
          <w:rFonts w:ascii="Times New Roman"/>
        </w:rPr>
        <w:t>:</w:t>
      </w:r>
      <w:r>
        <w:rPr>
          <w:rFonts w:ascii="Times New Roman"/>
        </w:rPr>
        <w:t xml:space="preserve"> 1) 2,000,000 shares to be released from escrow at the time Blow Vapor has reached CDN $3,000,000 in gross revenue, 2) 2,000,000 shares to be released from escrow at the time Blow Vapor has reached CDN $6,000,000 in gross revenue, and 3) 2,000,000 shares to be released from escrow once Blow Vapor has reached CDN $7,500,000 in gross revenue. Should any of the release thresholds not be achieved within four (4) years from closing, any escrow consideration which remains shall be returned to the treasury of the Company for cancellation.</w:t>
      </w:r>
    </w:p>
    <w:p w:rsidR="00714F7C" w:rsidRDefault="007A2E51" w:rsidP="00F07051">
      <w:pPr>
        <w:pStyle w:val="Default"/>
        <w:spacing w:after="120"/>
        <w:jc w:val="both"/>
        <w:rPr>
          <w:rFonts w:ascii="Times New Roman" w:eastAsia="Times New Roman" w:hAnsi="Times New Roman" w:cs="Times New Roman"/>
        </w:rPr>
      </w:pPr>
      <w:r>
        <w:rPr>
          <w:rFonts w:ascii="Times New Roman"/>
        </w:rPr>
        <w:t xml:space="preserve">Following </w:t>
      </w:r>
      <w:r w:rsidR="00B73175">
        <w:rPr>
          <w:rFonts w:ascii="Times New Roman"/>
        </w:rPr>
        <w:t>closing</w:t>
      </w:r>
      <w:r>
        <w:rPr>
          <w:rFonts w:ascii="Times New Roman"/>
        </w:rPr>
        <w:t>, the new Board of Blow Vapor will be comprised of five (5) individuals, two (2) of whom will be nominated by Blow Vapor and three (3) to be nominated by the Company, including the Chairman. The management team of Blow Vapor, including the Chief Operating Office</w:t>
      </w:r>
      <w:r w:rsidR="00F84783">
        <w:rPr>
          <w:rFonts w:ascii="Times New Roman"/>
        </w:rPr>
        <w:t>r</w:t>
      </w:r>
      <w:r>
        <w:rPr>
          <w:rFonts w:ascii="Times New Roman"/>
        </w:rPr>
        <w:t xml:space="preserve">, Sales Manager, Product </w:t>
      </w:r>
      <w:r w:rsidR="00B73175">
        <w:rPr>
          <w:rFonts w:ascii="Times New Roman"/>
        </w:rPr>
        <w:t xml:space="preserve">/ Procurement </w:t>
      </w:r>
      <w:r>
        <w:rPr>
          <w:rFonts w:ascii="Times New Roman"/>
        </w:rPr>
        <w:t xml:space="preserve">Manager, and Marketing Manager (the Management Team), will continue under new </w:t>
      </w:r>
      <w:r w:rsidR="00774F90">
        <w:rPr>
          <w:rFonts w:ascii="Times New Roman"/>
        </w:rPr>
        <w:t>e</w:t>
      </w:r>
      <w:r>
        <w:rPr>
          <w:rFonts w:ascii="Times New Roman"/>
        </w:rPr>
        <w:t xml:space="preserve">mployment </w:t>
      </w:r>
      <w:r w:rsidR="00774F90">
        <w:rPr>
          <w:rFonts w:ascii="Times New Roman"/>
        </w:rPr>
        <w:t>a</w:t>
      </w:r>
      <w:r>
        <w:rPr>
          <w:rFonts w:ascii="Times New Roman"/>
        </w:rPr>
        <w:t xml:space="preserve">greements.  </w:t>
      </w:r>
    </w:p>
    <w:p w:rsidR="00714F7C" w:rsidRDefault="007A2E51" w:rsidP="00F07051">
      <w:pPr>
        <w:pStyle w:val="Default"/>
        <w:spacing w:after="120"/>
        <w:jc w:val="both"/>
        <w:rPr>
          <w:rFonts w:ascii="Times New Roman" w:eastAsia="Times New Roman" w:hAnsi="Times New Roman" w:cs="Times New Roman"/>
          <w:b/>
          <w:bCs/>
        </w:rPr>
      </w:pPr>
      <w:r>
        <w:rPr>
          <w:rFonts w:ascii="Times New Roman"/>
        </w:rPr>
        <w:t xml:space="preserve">The Agreement is binding and is expected to be superseded by a </w:t>
      </w:r>
      <w:r w:rsidR="00774F90">
        <w:rPr>
          <w:rFonts w:ascii="Times New Roman"/>
        </w:rPr>
        <w:t xml:space="preserve">definitive agreement </w:t>
      </w:r>
      <w:r>
        <w:rPr>
          <w:rFonts w:ascii="Times New Roman"/>
        </w:rPr>
        <w:t>to be agreed to and signed between the parties, expected no later than July 31, 2015</w:t>
      </w:r>
      <w:r w:rsidR="00774F90">
        <w:rPr>
          <w:rFonts w:ascii="Times New Roman"/>
        </w:rPr>
        <w:t xml:space="preserve"> (a </w:t>
      </w:r>
      <w:r w:rsidR="00774F90">
        <w:rPr>
          <w:rFonts w:ascii="Times New Roman"/>
        </w:rPr>
        <w:t>“</w:t>
      </w:r>
      <w:r w:rsidR="00774F90">
        <w:rPr>
          <w:rFonts w:ascii="Times New Roman"/>
        </w:rPr>
        <w:t>Definitive Agreement</w:t>
      </w:r>
      <w:r w:rsidR="00774F90">
        <w:rPr>
          <w:rFonts w:ascii="Times New Roman"/>
        </w:rPr>
        <w:t>”</w:t>
      </w:r>
      <w:r w:rsidR="00774F90">
        <w:rPr>
          <w:rFonts w:ascii="Times New Roman"/>
        </w:rPr>
        <w:t>)</w:t>
      </w:r>
      <w:r>
        <w:rPr>
          <w:rFonts w:ascii="Times New Roman"/>
        </w:rPr>
        <w:t xml:space="preserve">. The </w:t>
      </w:r>
      <w:r w:rsidR="00774F90">
        <w:rPr>
          <w:rFonts w:ascii="Times New Roman"/>
        </w:rPr>
        <w:t xml:space="preserve">transaction </w:t>
      </w:r>
      <w:r>
        <w:rPr>
          <w:rFonts w:ascii="Times New Roman"/>
        </w:rPr>
        <w:t>is subject to regulatory approval and standard closing conditions.</w:t>
      </w:r>
    </w:p>
    <w:p w:rsidR="00714F7C" w:rsidRDefault="007A2E51" w:rsidP="00F07051">
      <w:pPr>
        <w:pStyle w:val="BodyA"/>
        <w:spacing w:after="120"/>
        <w:jc w:val="both"/>
        <w:rPr>
          <w:rFonts w:ascii="Times New Roman" w:eastAsia="Times New Roman" w:hAnsi="Times New Roman" w:cs="Times New Roman"/>
          <w:b/>
          <w:bCs/>
          <w:sz w:val="22"/>
          <w:szCs w:val="22"/>
        </w:rPr>
      </w:pPr>
      <w:r>
        <w:rPr>
          <w:rFonts w:ascii="Times New Roman"/>
          <w:sz w:val="22"/>
          <w:szCs w:val="22"/>
        </w:rPr>
        <w:t>Further details about th</w:t>
      </w:r>
      <w:r w:rsidR="00774F90">
        <w:rPr>
          <w:rFonts w:ascii="Times New Roman"/>
          <w:sz w:val="22"/>
          <w:szCs w:val="22"/>
        </w:rPr>
        <w:t>e</w:t>
      </w:r>
      <w:r>
        <w:rPr>
          <w:rFonts w:ascii="Times New Roman"/>
          <w:sz w:val="22"/>
          <w:szCs w:val="22"/>
        </w:rPr>
        <w:t xml:space="preserve"> transaction and the combined entity will be provided in a</w:t>
      </w:r>
      <w:r w:rsidR="00B73175">
        <w:rPr>
          <w:rFonts w:ascii="Times New Roman"/>
          <w:sz w:val="22"/>
          <w:szCs w:val="22"/>
        </w:rPr>
        <w:t xml:space="preserve"> </w:t>
      </w:r>
      <w:r>
        <w:rPr>
          <w:rFonts w:ascii="Times New Roman"/>
          <w:sz w:val="22"/>
          <w:szCs w:val="22"/>
        </w:rPr>
        <w:t xml:space="preserve">comprehensive press release when the parties </w:t>
      </w:r>
      <w:r w:rsidR="00846240">
        <w:rPr>
          <w:rFonts w:ascii="Times New Roman"/>
          <w:sz w:val="22"/>
          <w:szCs w:val="22"/>
        </w:rPr>
        <w:t xml:space="preserve">execute and deliver </w:t>
      </w:r>
      <w:r>
        <w:rPr>
          <w:rFonts w:ascii="Times New Roman"/>
          <w:sz w:val="22"/>
          <w:szCs w:val="22"/>
        </w:rPr>
        <w:t>the Definitive Agreement.</w:t>
      </w:r>
    </w:p>
    <w:p w:rsidR="00714F7C" w:rsidRDefault="007A2E51">
      <w:pPr>
        <w:pStyle w:val="BodyA"/>
        <w:spacing w:before="120" w:after="180"/>
        <w:rPr>
          <w:rFonts w:ascii="Times New Roman" w:eastAsia="Times New Roman" w:hAnsi="Times New Roman" w:cs="Times New Roman"/>
          <w:b/>
          <w:bCs/>
          <w:sz w:val="22"/>
          <w:szCs w:val="22"/>
        </w:rPr>
      </w:pPr>
      <w:r>
        <w:rPr>
          <w:rFonts w:ascii="Times New Roman"/>
          <w:b/>
          <w:bCs/>
          <w:sz w:val="22"/>
          <w:szCs w:val="22"/>
        </w:rPr>
        <w:t>About Saratoga Electronic Solutions Inc.</w:t>
      </w:r>
    </w:p>
    <w:p w:rsidR="00714F7C" w:rsidRDefault="007A2E51" w:rsidP="00F07051">
      <w:pPr>
        <w:pStyle w:val="BodyA"/>
        <w:spacing w:before="120" w:after="180"/>
        <w:jc w:val="both"/>
        <w:rPr>
          <w:rFonts w:ascii="Times New Roman" w:eastAsia="Times New Roman" w:hAnsi="Times New Roman" w:cs="Times New Roman"/>
          <w:sz w:val="22"/>
          <w:szCs w:val="22"/>
        </w:rPr>
      </w:pPr>
      <w:r>
        <w:rPr>
          <w:rFonts w:ascii="Times New Roman"/>
          <w:sz w:val="22"/>
          <w:szCs w:val="22"/>
        </w:rPr>
        <w:t>Saratoga Electronic Solutions Inc. (CSE: ABA) is the parent company of Abba Medix Corp (</w:t>
      </w:r>
      <w:r>
        <w:rPr>
          <w:rFonts w:hAnsi="Times New Roman"/>
          <w:sz w:val="22"/>
          <w:szCs w:val="22"/>
        </w:rPr>
        <w:t>“</w:t>
      </w:r>
      <w:r>
        <w:rPr>
          <w:rFonts w:ascii="Times New Roman"/>
          <w:sz w:val="22"/>
          <w:szCs w:val="22"/>
        </w:rPr>
        <w:t>Abba</w:t>
      </w:r>
      <w:r>
        <w:rPr>
          <w:rFonts w:hAnsi="Times New Roman"/>
          <w:sz w:val="22"/>
          <w:szCs w:val="22"/>
        </w:rPr>
        <w:t>”</w:t>
      </w:r>
      <w:r>
        <w:rPr>
          <w:rFonts w:ascii="Times New Roman"/>
          <w:sz w:val="22"/>
          <w:szCs w:val="22"/>
        </w:rPr>
        <w:t>) which was established in August 2013 to capitalize on the dramatically changing rules governing medical marijuana production in Canada. Abba submitted its initial application under the MMPR licensing program in November of 2013. Abba</w:t>
      </w:r>
      <w:r>
        <w:rPr>
          <w:rFonts w:hAnsi="Times New Roman"/>
          <w:sz w:val="22"/>
          <w:szCs w:val="22"/>
        </w:rPr>
        <w:t>’</w:t>
      </w:r>
      <w:r>
        <w:rPr>
          <w:rFonts w:ascii="Times New Roman"/>
          <w:sz w:val="22"/>
          <w:szCs w:val="22"/>
        </w:rPr>
        <w:t xml:space="preserve">s 19,000 sq. ft. Pickering, Ontario growing facility, with an output capacity of 115 kg per month, is complete and ready for Health </w:t>
      </w:r>
      <w:r>
        <w:rPr>
          <w:rFonts w:ascii="Times New Roman"/>
          <w:sz w:val="22"/>
          <w:szCs w:val="22"/>
        </w:rPr>
        <w:lastRenderedPageBreak/>
        <w:t xml:space="preserve">Canada inspection. It is currently awaiting approval from Health Canada to produce medical cannabis. Saratoga has called an annual and special shareholders meeting for May 4, 2015, pursuant to which, among other things, shareholders will be asked to approve a name change to Abba Medix Group Inc. or such other name as may be acceptable to the board of Saratoga or the regulatory authorities. For more information please visit </w:t>
      </w:r>
      <w:hyperlink r:id="rId7" w:history="1">
        <w:r>
          <w:rPr>
            <w:rStyle w:val="Hyperlink0"/>
            <w:rFonts w:ascii="Times New Roman"/>
          </w:rPr>
          <w:t>www.abbamedix.com</w:t>
        </w:r>
      </w:hyperlink>
      <w:r>
        <w:rPr>
          <w:rFonts w:ascii="Times New Roman"/>
          <w:sz w:val="22"/>
          <w:szCs w:val="22"/>
        </w:rPr>
        <w:t xml:space="preserve">. </w:t>
      </w:r>
    </w:p>
    <w:p w:rsidR="00714F7C" w:rsidRDefault="007A2E5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80"/>
        <w:rPr>
          <w:rFonts w:ascii="Times New Roman" w:eastAsia="Times New Roman" w:hAnsi="Times New Roman" w:cs="Times New Roman"/>
          <w:b/>
          <w:bCs/>
        </w:rPr>
      </w:pPr>
      <w:r>
        <w:rPr>
          <w:rFonts w:ascii="Times New Roman"/>
          <w:b/>
          <w:bCs/>
        </w:rPr>
        <w:t>About Blow Canada Inc.</w:t>
      </w:r>
    </w:p>
    <w:p w:rsidR="00714F7C" w:rsidRDefault="007A2E51" w:rsidP="00F0705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80"/>
        <w:jc w:val="both"/>
        <w:rPr>
          <w:rFonts w:ascii="Times New Roman" w:eastAsia="Times New Roman" w:hAnsi="Times New Roman" w:cs="Times New Roman"/>
        </w:rPr>
      </w:pPr>
      <w:r>
        <w:rPr>
          <w:rFonts w:ascii="Times New Roman"/>
        </w:rPr>
        <w:t xml:space="preserve">Blow Canada Inc. was incorporated in Ontario, Canada in June 2013. In July 2014, </w:t>
      </w:r>
      <w:r w:rsidR="00E666BB">
        <w:rPr>
          <w:rFonts w:ascii="Times New Roman"/>
        </w:rPr>
        <w:t>Blow Canada Inc. incorporated a wholly owned subsidiary</w:t>
      </w:r>
      <w:r w:rsidR="002E262D">
        <w:rPr>
          <w:rFonts w:ascii="Times New Roman"/>
        </w:rPr>
        <w:t>, Blow</w:t>
      </w:r>
      <w:r>
        <w:rPr>
          <w:rFonts w:ascii="Times New Roman"/>
        </w:rPr>
        <w:t xml:space="preserve"> Vapor Inc.</w:t>
      </w:r>
      <w:r w:rsidR="00E666BB">
        <w:rPr>
          <w:rFonts w:ascii="Times New Roman"/>
        </w:rPr>
        <w:t>,</w:t>
      </w:r>
      <w:r>
        <w:rPr>
          <w:rFonts w:ascii="Times New Roman"/>
        </w:rPr>
        <w:t xml:space="preserve"> in Florida, USA.  In August of the same year, the company filed its first US patent application for their electronic hookah device. Since then, the company has been providing customers with nothing but the best, most innovative products on the market, offering a wide collection of premium products to fit everyone</w:t>
      </w:r>
      <w:r>
        <w:rPr>
          <w:rFonts w:hAnsi="Times New Roman"/>
        </w:rPr>
        <w:t>’</w:t>
      </w:r>
      <w:r>
        <w:rPr>
          <w:rFonts w:ascii="Times New Roman"/>
        </w:rPr>
        <w:t xml:space="preserve">s lifestyle and vaping preferences. For more information, please visit </w:t>
      </w:r>
      <w:hyperlink r:id="rId8" w:history="1">
        <w:r>
          <w:rPr>
            <w:rStyle w:val="Hyperlink1"/>
            <w:rFonts w:ascii="Times New Roman"/>
          </w:rPr>
          <w:t>www.blowvapor.com</w:t>
        </w:r>
      </w:hyperlink>
      <w:r>
        <w:rPr>
          <w:rFonts w:ascii="Times New Roman"/>
        </w:rPr>
        <w:t xml:space="preserve">. </w:t>
      </w:r>
    </w:p>
    <w:p w:rsidR="00714F7C" w:rsidRDefault="007A2E51">
      <w:pPr>
        <w:pStyle w:val="BodyA"/>
        <w:spacing w:before="120" w:after="180"/>
        <w:rPr>
          <w:rFonts w:ascii="Times New Roman" w:eastAsia="Times New Roman" w:hAnsi="Times New Roman" w:cs="Times New Roman"/>
          <w:b/>
          <w:bCs/>
          <w:sz w:val="22"/>
          <w:szCs w:val="22"/>
        </w:rPr>
      </w:pPr>
      <w:r>
        <w:rPr>
          <w:rFonts w:ascii="Times New Roman"/>
          <w:b/>
          <w:bCs/>
          <w:sz w:val="22"/>
          <w:szCs w:val="22"/>
        </w:rPr>
        <w:t xml:space="preserve">Cautionary Statements Regarding the Transaction </w:t>
      </w:r>
    </w:p>
    <w:p w:rsidR="00714F7C" w:rsidRDefault="007A2E51" w:rsidP="00F07051">
      <w:pPr>
        <w:pStyle w:val="BodyA"/>
        <w:spacing w:before="120" w:after="180"/>
        <w:jc w:val="both"/>
        <w:rPr>
          <w:rFonts w:ascii="Times New Roman" w:eastAsia="Times New Roman" w:hAnsi="Times New Roman" w:cs="Times New Roman"/>
          <w:sz w:val="22"/>
          <w:szCs w:val="22"/>
        </w:rPr>
      </w:pPr>
      <w:r>
        <w:rPr>
          <w:rFonts w:ascii="Times New Roman"/>
          <w:sz w:val="22"/>
          <w:szCs w:val="22"/>
        </w:rPr>
        <w:t>This press release contains forward-looking information based on current expectations. The closing of the Transaction, the expected terms of the Transaction, the cash disbursement and the number of securities of the Company that may be issued in connection with the Transaction and the parties</w:t>
      </w:r>
      <w:r>
        <w:rPr>
          <w:rFonts w:hAnsi="Times New Roman"/>
          <w:sz w:val="22"/>
          <w:szCs w:val="22"/>
        </w:rPr>
        <w:t>’</w:t>
      </w:r>
      <w:r>
        <w:rPr>
          <w:rFonts w:hAnsi="Times New Roman"/>
          <w:sz w:val="22"/>
          <w:szCs w:val="22"/>
        </w:rPr>
        <w:t xml:space="preserve"> </w:t>
      </w:r>
      <w:r>
        <w:rPr>
          <w:rFonts w:ascii="Times New Roman"/>
          <w:sz w:val="22"/>
          <w:szCs w:val="22"/>
        </w:rPr>
        <w:t xml:space="preserve">ability to satisfy the closing conditions and receive all necessary approvals are all forward-looking information.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Transaction will occur or that, if the Transaction does occur, it will be completed on the terms described above. The terms described above are not binding unless and until the Definitive Agreement is signed. </w:t>
      </w:r>
    </w:p>
    <w:p w:rsidR="00714F7C" w:rsidRDefault="007A2E51">
      <w:pPr>
        <w:pStyle w:val="BodyA"/>
        <w:spacing w:before="120" w:after="180"/>
        <w:rPr>
          <w:rFonts w:ascii="Times New Roman" w:eastAsia="Times New Roman" w:hAnsi="Times New Roman" w:cs="Times New Roman"/>
          <w:b/>
          <w:bCs/>
          <w:sz w:val="22"/>
          <w:szCs w:val="22"/>
        </w:rPr>
      </w:pPr>
      <w:r>
        <w:rPr>
          <w:rFonts w:ascii="Times New Roman"/>
          <w:b/>
          <w:bCs/>
          <w:sz w:val="22"/>
          <w:szCs w:val="22"/>
        </w:rPr>
        <w:t>Cautionary Statements Regarding Forward-Looking Information</w:t>
      </w:r>
    </w:p>
    <w:p w:rsidR="00714F7C" w:rsidRDefault="007A2E51" w:rsidP="00F07051">
      <w:pPr>
        <w:pStyle w:val="BodyA"/>
        <w:spacing w:before="120" w:after="180"/>
        <w:jc w:val="both"/>
        <w:rPr>
          <w:rFonts w:ascii="Times New Roman" w:eastAsia="Times New Roman" w:hAnsi="Times New Roman" w:cs="Times New Roman"/>
        </w:rPr>
      </w:pPr>
      <w:r>
        <w:rPr>
          <w:rFonts w:ascii="Times New Roman"/>
          <w:sz w:val="22"/>
          <w:szCs w:val="22"/>
        </w:rPr>
        <w:t xml:space="preserve">Certain statements within this press release relating to the Company and / or Blow constitute </w:t>
      </w:r>
      <w:r>
        <w:rPr>
          <w:rFonts w:hAnsi="Times New Roman"/>
          <w:sz w:val="22"/>
          <w:szCs w:val="22"/>
        </w:rPr>
        <w:t>“</w:t>
      </w:r>
      <w:r>
        <w:rPr>
          <w:rFonts w:ascii="Times New Roman"/>
          <w:sz w:val="22"/>
          <w:szCs w:val="22"/>
          <w:lang w:val="nl-NL"/>
        </w:rPr>
        <w:t>forward-looking statements</w:t>
      </w:r>
      <w:r>
        <w:rPr>
          <w:rFonts w:hAnsi="Times New Roman"/>
          <w:sz w:val="22"/>
          <w:szCs w:val="22"/>
        </w:rPr>
        <w:t>”</w:t>
      </w:r>
      <w:r>
        <w:rPr>
          <w:rFonts w:ascii="Times New Roman"/>
          <w:sz w:val="22"/>
          <w:szCs w:val="22"/>
        </w:rPr>
        <w:t>, within the meaning of applicable securities laws, including without limitation, statements regarding future estimates, business plans and / or objectives, sales programs, forecasts and projections, assumptions, expectations, and/or beliefs of future performance, are "forward-looking statements". Such "forward-looking statements" involve known and unknown risks and uncertainties that could cause actual and future events to differ materially from those anticipated in such statements. Forward-looking statements include, but are not limited to, statements with respect to commercial operations, including production and / or sales of medical marijuana, quantities of future medical marijuana production, anticipated revenues in connection with such sales, the overall projected size of the market, completion and / or expansion of production facilities, and other information that is based on forecasts of future results, estimates of production not yet determinable, and other key management assumptions. Actual results may differ materially from those expressed or implied by such forward-looking statements and involve risk and uncertainties relating to the Company's and Blow</w:t>
      </w:r>
      <w:r>
        <w:rPr>
          <w:rFonts w:hAnsi="Times New Roman"/>
          <w:sz w:val="22"/>
          <w:szCs w:val="22"/>
        </w:rPr>
        <w:t>’</w:t>
      </w:r>
      <w:r>
        <w:rPr>
          <w:rFonts w:ascii="Times New Roman"/>
          <w:sz w:val="22"/>
          <w:szCs w:val="22"/>
        </w:rPr>
        <w:t>s historical experience with e-cigarettes operations, regulatory changes, timeliness of government approvals for the granting of permits and licenses, changes in medical marijuana prices, actual operating performance of facilities, and other uninsured risks.  The Company assumes no responsibility to update or revise forward-looking information to reflect new events or circumstances unless required by law. Further, there can be no assurance that Abba Medix</w:t>
      </w:r>
      <w:r>
        <w:rPr>
          <w:rFonts w:hAnsi="Times New Roman"/>
          <w:sz w:val="22"/>
          <w:szCs w:val="22"/>
        </w:rPr>
        <w:t>’</w:t>
      </w:r>
      <w:r>
        <w:rPr>
          <w:rFonts w:ascii="Times New Roman"/>
          <w:sz w:val="22"/>
          <w:szCs w:val="22"/>
        </w:rPr>
        <w:t xml:space="preserve">s medical marijuana license application will be approved by Health Canada, or that any prospective projects in the industry will be successfully completed. Neither the CSE nor its Regulation Services Provider (as that </w:t>
      </w:r>
      <w:r>
        <w:rPr>
          <w:rFonts w:ascii="Times New Roman"/>
          <w:sz w:val="22"/>
          <w:szCs w:val="22"/>
        </w:rPr>
        <w:lastRenderedPageBreak/>
        <w:t xml:space="preserve">term is defined in the policies of the CSE) accepts responsibility for the adequacy or accuracy of this release. </w:t>
      </w:r>
    </w:p>
    <w:p w:rsidR="00714F7C" w:rsidRDefault="007A2E51">
      <w:pPr>
        <w:pStyle w:val="BodyA"/>
        <w:spacing w:before="120" w:after="180"/>
        <w:rPr>
          <w:rFonts w:ascii="Times New Roman" w:eastAsia="Times New Roman" w:hAnsi="Times New Roman" w:cs="Times New Roman"/>
          <w:b/>
          <w:bCs/>
          <w:sz w:val="22"/>
          <w:szCs w:val="22"/>
        </w:rPr>
      </w:pPr>
      <w:r>
        <w:rPr>
          <w:rFonts w:ascii="Times New Roman"/>
          <w:b/>
          <w:bCs/>
          <w:sz w:val="22"/>
          <w:szCs w:val="22"/>
        </w:rPr>
        <w:t>For further information please contact:</w:t>
      </w:r>
    </w:p>
    <w:p w:rsidR="00714F7C" w:rsidRDefault="007A2E51">
      <w:pPr>
        <w:pStyle w:val="BodyA"/>
        <w:spacing w:after="0"/>
        <w:rPr>
          <w:rFonts w:ascii="Times New Roman" w:eastAsia="Times New Roman" w:hAnsi="Times New Roman" w:cs="Times New Roman"/>
          <w:sz w:val="22"/>
          <w:szCs w:val="22"/>
        </w:rPr>
      </w:pPr>
      <w:r>
        <w:rPr>
          <w:rFonts w:ascii="Times New Roman"/>
          <w:sz w:val="22"/>
          <w:szCs w:val="22"/>
        </w:rPr>
        <w:t>Ray Ahmad Rasouli</w:t>
      </w:r>
    </w:p>
    <w:p w:rsidR="00714F7C" w:rsidRDefault="007A2E51">
      <w:pPr>
        <w:pStyle w:val="BodyA"/>
        <w:spacing w:after="0"/>
        <w:rPr>
          <w:rFonts w:ascii="Times New Roman" w:eastAsia="Times New Roman" w:hAnsi="Times New Roman" w:cs="Times New Roman"/>
          <w:sz w:val="22"/>
          <w:szCs w:val="22"/>
        </w:rPr>
      </w:pPr>
      <w:r>
        <w:rPr>
          <w:rFonts w:ascii="Times New Roman"/>
          <w:sz w:val="22"/>
          <w:szCs w:val="22"/>
        </w:rPr>
        <w:t>Chief Executive Officer</w:t>
      </w:r>
    </w:p>
    <w:p w:rsidR="00714F7C" w:rsidRDefault="007A2E51">
      <w:pPr>
        <w:pStyle w:val="BodyA"/>
        <w:spacing w:after="0"/>
        <w:rPr>
          <w:rFonts w:ascii="Times New Roman" w:eastAsia="Times New Roman" w:hAnsi="Times New Roman" w:cs="Times New Roman"/>
          <w:sz w:val="22"/>
          <w:szCs w:val="22"/>
        </w:rPr>
      </w:pPr>
      <w:r>
        <w:rPr>
          <w:rFonts w:ascii="Times New Roman"/>
          <w:sz w:val="22"/>
          <w:szCs w:val="22"/>
        </w:rPr>
        <w:t xml:space="preserve">Saratoga Electronic Solutions Inc. | Abba Medix Corp. </w:t>
      </w:r>
    </w:p>
    <w:p w:rsidR="00714F7C" w:rsidRDefault="007A2E51">
      <w:pPr>
        <w:pStyle w:val="BodyA"/>
        <w:spacing w:after="0"/>
        <w:rPr>
          <w:rFonts w:ascii="Times New Roman"/>
          <w:sz w:val="22"/>
          <w:szCs w:val="22"/>
        </w:rPr>
      </w:pPr>
      <w:r>
        <w:rPr>
          <w:rFonts w:ascii="Times New Roman"/>
          <w:sz w:val="22"/>
          <w:szCs w:val="22"/>
        </w:rPr>
        <w:t>Tel:</w:t>
      </w:r>
      <w:r>
        <w:rPr>
          <w:rFonts w:hAnsi="Times New Roman"/>
          <w:sz w:val="22"/>
          <w:szCs w:val="22"/>
        </w:rPr>
        <w:t> </w:t>
      </w:r>
      <w:r>
        <w:rPr>
          <w:rFonts w:ascii="Times New Roman"/>
          <w:sz w:val="22"/>
          <w:szCs w:val="22"/>
        </w:rPr>
        <w:t>(905) 492-9420</w:t>
      </w:r>
    </w:p>
    <w:p w:rsidR="00CB0918" w:rsidRDefault="00CB0918">
      <w:pPr>
        <w:pStyle w:val="BodyA"/>
        <w:spacing w:after="0"/>
        <w:rPr>
          <w:rFonts w:ascii="Times New Roman"/>
          <w:sz w:val="22"/>
          <w:szCs w:val="22"/>
        </w:rPr>
      </w:pPr>
    </w:p>
    <w:bookmarkStart w:id="1" w:name="_iDocIDField_1"/>
    <w:p w:rsidR="00EB267F" w:rsidRPr="00EB267F" w:rsidRDefault="00EB267F" w:rsidP="00EB267F">
      <w:pPr>
        <w:pStyle w:val="DocID"/>
      </w:pPr>
      <w:r>
        <w:fldChar w:fldCharType="begin"/>
      </w:r>
      <w:r>
        <w:instrText xml:space="preserve">  DOCPROPERTY "CUS_DocIDString" </w:instrText>
      </w:r>
      <w:r>
        <w:fldChar w:fldCharType="separate"/>
      </w:r>
      <w:r>
        <w:t>22447450.1</w:t>
      </w:r>
      <w:r>
        <w:fldChar w:fldCharType="end"/>
      </w:r>
      <w:bookmarkEnd w:id="1"/>
    </w:p>
    <w:sectPr w:rsidR="00EB267F" w:rsidRPr="00EB267F">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12" w:rsidRDefault="005A6212">
      <w:r>
        <w:separator/>
      </w:r>
    </w:p>
  </w:endnote>
  <w:endnote w:type="continuationSeparator" w:id="0">
    <w:p w:rsidR="005A6212" w:rsidRDefault="005A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12" w:rsidRDefault="005A6212">
      <w:r>
        <w:separator/>
      </w:r>
    </w:p>
  </w:footnote>
  <w:footnote w:type="continuationSeparator" w:id="0">
    <w:p w:rsidR="005A6212" w:rsidRDefault="005A621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Dawson">
    <w15:presenceInfo w15:providerId="AD" w15:userId="S-1-5-21-374614758-1481757020-637184013-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7C"/>
    <w:rsid w:val="00160220"/>
    <w:rsid w:val="001D464B"/>
    <w:rsid w:val="00273824"/>
    <w:rsid w:val="002E262D"/>
    <w:rsid w:val="0032330C"/>
    <w:rsid w:val="00356B48"/>
    <w:rsid w:val="004E099E"/>
    <w:rsid w:val="005A6212"/>
    <w:rsid w:val="005C3654"/>
    <w:rsid w:val="006444B2"/>
    <w:rsid w:val="00714F7C"/>
    <w:rsid w:val="00774F90"/>
    <w:rsid w:val="007A2E51"/>
    <w:rsid w:val="00846240"/>
    <w:rsid w:val="00960C6A"/>
    <w:rsid w:val="00B113A6"/>
    <w:rsid w:val="00B73175"/>
    <w:rsid w:val="00CB0918"/>
    <w:rsid w:val="00DC780F"/>
    <w:rsid w:val="00E666BB"/>
    <w:rsid w:val="00EB267F"/>
    <w:rsid w:val="00EF4CEF"/>
    <w:rsid w:val="00F07051"/>
    <w:rsid w:val="00F8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link w:val="BodyAChar"/>
    <w:pPr>
      <w:spacing w:after="200"/>
    </w:pPr>
    <w:rPr>
      <w:rFonts w:ascii="Cambria" w:eastAsia="Cambria" w:hAnsi="Cambria" w:cs="Cambria"/>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sz w:val="22"/>
      <w:szCs w:val="22"/>
      <w:u w:val="single" w:color="0000FF"/>
    </w:rPr>
  </w:style>
  <w:style w:type="character" w:customStyle="1" w:styleId="Hyperlink1">
    <w:name w:val="Hyperlink.1"/>
    <w:basedOn w:val="None"/>
    <w:rPr>
      <w:color w:val="0000FF"/>
      <w:u w:val="single" w:color="0000FF"/>
    </w:rPr>
  </w:style>
  <w:style w:type="paragraph" w:styleId="BalloonText">
    <w:name w:val="Balloon Text"/>
    <w:basedOn w:val="Normal"/>
    <w:link w:val="BalloonTextChar"/>
    <w:uiPriority w:val="99"/>
    <w:semiHidden/>
    <w:unhideWhenUsed/>
    <w:rsid w:val="00F8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83"/>
    <w:rPr>
      <w:rFonts w:ascii="Segoe UI" w:hAnsi="Segoe UI" w:cs="Segoe UI"/>
      <w:sz w:val="18"/>
      <w:szCs w:val="18"/>
    </w:rPr>
  </w:style>
  <w:style w:type="paragraph" w:styleId="Header">
    <w:name w:val="header"/>
    <w:basedOn w:val="Normal"/>
    <w:link w:val="HeaderChar"/>
    <w:uiPriority w:val="99"/>
    <w:unhideWhenUsed/>
    <w:rsid w:val="00960C6A"/>
    <w:pPr>
      <w:tabs>
        <w:tab w:val="center" w:pos="4680"/>
        <w:tab w:val="right" w:pos="9360"/>
      </w:tabs>
    </w:pPr>
  </w:style>
  <w:style w:type="character" w:customStyle="1" w:styleId="HeaderChar">
    <w:name w:val="Header Char"/>
    <w:basedOn w:val="DefaultParagraphFont"/>
    <w:link w:val="Header"/>
    <w:uiPriority w:val="99"/>
    <w:rsid w:val="00960C6A"/>
    <w:rPr>
      <w:sz w:val="24"/>
      <w:szCs w:val="24"/>
    </w:rPr>
  </w:style>
  <w:style w:type="paragraph" w:styleId="Footer">
    <w:name w:val="footer"/>
    <w:basedOn w:val="Normal"/>
    <w:link w:val="FooterChar"/>
    <w:uiPriority w:val="99"/>
    <w:unhideWhenUsed/>
    <w:rsid w:val="00960C6A"/>
    <w:pPr>
      <w:tabs>
        <w:tab w:val="center" w:pos="4680"/>
        <w:tab w:val="right" w:pos="9360"/>
      </w:tabs>
    </w:pPr>
  </w:style>
  <w:style w:type="character" w:customStyle="1" w:styleId="FooterChar">
    <w:name w:val="Footer Char"/>
    <w:basedOn w:val="DefaultParagraphFont"/>
    <w:link w:val="Footer"/>
    <w:uiPriority w:val="99"/>
    <w:rsid w:val="00960C6A"/>
    <w:rPr>
      <w:sz w:val="24"/>
      <w:szCs w:val="24"/>
    </w:rPr>
  </w:style>
  <w:style w:type="paragraph" w:customStyle="1" w:styleId="DocID">
    <w:name w:val="DocID"/>
    <w:basedOn w:val="Normal"/>
    <w:next w:val="Normal"/>
    <w:link w:val="DocIDChar"/>
    <w:rsid w:val="00960C6A"/>
    <w:rPr>
      <w:rFonts w:ascii="Arial" w:eastAsia="Cambria" w:hAnsi="Arial" w:cs="Arial"/>
      <w:sz w:val="16"/>
      <w:u w:color="000000"/>
    </w:rPr>
  </w:style>
  <w:style w:type="character" w:customStyle="1" w:styleId="BodyAChar">
    <w:name w:val="Body A Char"/>
    <w:basedOn w:val="DefaultParagraphFont"/>
    <w:link w:val="BodyA"/>
    <w:rsid w:val="00960C6A"/>
    <w:rPr>
      <w:rFonts w:ascii="Cambria" w:eastAsia="Cambria" w:hAnsi="Cambria" w:cs="Cambria"/>
      <w:color w:val="000000"/>
      <w:sz w:val="24"/>
      <w:szCs w:val="24"/>
      <w:u w:color="000000"/>
    </w:rPr>
  </w:style>
  <w:style w:type="character" w:customStyle="1" w:styleId="DocIDChar">
    <w:name w:val="DocID Char"/>
    <w:basedOn w:val="BodyAChar"/>
    <w:link w:val="DocID"/>
    <w:rsid w:val="00960C6A"/>
    <w:rPr>
      <w:rFonts w:ascii="Arial" w:eastAsia="Cambria" w:hAnsi="Arial" w:cs="Arial"/>
      <w:color w:val="000000"/>
      <w:sz w:val="16"/>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link w:val="BodyAChar"/>
    <w:pPr>
      <w:spacing w:after="200"/>
    </w:pPr>
    <w:rPr>
      <w:rFonts w:ascii="Cambria" w:eastAsia="Cambria" w:hAnsi="Cambria" w:cs="Cambria"/>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sz w:val="22"/>
      <w:szCs w:val="22"/>
      <w:u w:val="single" w:color="0000FF"/>
    </w:rPr>
  </w:style>
  <w:style w:type="character" w:customStyle="1" w:styleId="Hyperlink1">
    <w:name w:val="Hyperlink.1"/>
    <w:basedOn w:val="None"/>
    <w:rPr>
      <w:color w:val="0000FF"/>
      <w:u w:val="single" w:color="0000FF"/>
    </w:rPr>
  </w:style>
  <w:style w:type="paragraph" w:styleId="BalloonText">
    <w:name w:val="Balloon Text"/>
    <w:basedOn w:val="Normal"/>
    <w:link w:val="BalloonTextChar"/>
    <w:uiPriority w:val="99"/>
    <w:semiHidden/>
    <w:unhideWhenUsed/>
    <w:rsid w:val="00F8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83"/>
    <w:rPr>
      <w:rFonts w:ascii="Segoe UI" w:hAnsi="Segoe UI" w:cs="Segoe UI"/>
      <w:sz w:val="18"/>
      <w:szCs w:val="18"/>
    </w:rPr>
  </w:style>
  <w:style w:type="paragraph" w:styleId="Header">
    <w:name w:val="header"/>
    <w:basedOn w:val="Normal"/>
    <w:link w:val="HeaderChar"/>
    <w:uiPriority w:val="99"/>
    <w:unhideWhenUsed/>
    <w:rsid w:val="00960C6A"/>
    <w:pPr>
      <w:tabs>
        <w:tab w:val="center" w:pos="4680"/>
        <w:tab w:val="right" w:pos="9360"/>
      </w:tabs>
    </w:pPr>
  </w:style>
  <w:style w:type="character" w:customStyle="1" w:styleId="HeaderChar">
    <w:name w:val="Header Char"/>
    <w:basedOn w:val="DefaultParagraphFont"/>
    <w:link w:val="Header"/>
    <w:uiPriority w:val="99"/>
    <w:rsid w:val="00960C6A"/>
    <w:rPr>
      <w:sz w:val="24"/>
      <w:szCs w:val="24"/>
    </w:rPr>
  </w:style>
  <w:style w:type="paragraph" w:styleId="Footer">
    <w:name w:val="footer"/>
    <w:basedOn w:val="Normal"/>
    <w:link w:val="FooterChar"/>
    <w:uiPriority w:val="99"/>
    <w:unhideWhenUsed/>
    <w:rsid w:val="00960C6A"/>
    <w:pPr>
      <w:tabs>
        <w:tab w:val="center" w:pos="4680"/>
        <w:tab w:val="right" w:pos="9360"/>
      </w:tabs>
    </w:pPr>
  </w:style>
  <w:style w:type="character" w:customStyle="1" w:styleId="FooterChar">
    <w:name w:val="Footer Char"/>
    <w:basedOn w:val="DefaultParagraphFont"/>
    <w:link w:val="Footer"/>
    <w:uiPriority w:val="99"/>
    <w:rsid w:val="00960C6A"/>
    <w:rPr>
      <w:sz w:val="24"/>
      <w:szCs w:val="24"/>
    </w:rPr>
  </w:style>
  <w:style w:type="paragraph" w:customStyle="1" w:styleId="DocID">
    <w:name w:val="DocID"/>
    <w:basedOn w:val="Normal"/>
    <w:next w:val="Normal"/>
    <w:link w:val="DocIDChar"/>
    <w:rsid w:val="00960C6A"/>
    <w:rPr>
      <w:rFonts w:ascii="Arial" w:eastAsia="Cambria" w:hAnsi="Arial" w:cs="Arial"/>
      <w:sz w:val="16"/>
      <w:u w:color="000000"/>
    </w:rPr>
  </w:style>
  <w:style w:type="character" w:customStyle="1" w:styleId="BodyAChar">
    <w:name w:val="Body A Char"/>
    <w:basedOn w:val="DefaultParagraphFont"/>
    <w:link w:val="BodyA"/>
    <w:rsid w:val="00960C6A"/>
    <w:rPr>
      <w:rFonts w:ascii="Cambria" w:eastAsia="Cambria" w:hAnsi="Cambria" w:cs="Cambria"/>
      <w:color w:val="000000"/>
      <w:sz w:val="24"/>
      <w:szCs w:val="24"/>
      <w:u w:color="000000"/>
    </w:rPr>
  </w:style>
  <w:style w:type="character" w:customStyle="1" w:styleId="DocIDChar">
    <w:name w:val="DocID Char"/>
    <w:basedOn w:val="BodyAChar"/>
    <w:link w:val="DocID"/>
    <w:rsid w:val="00960C6A"/>
    <w:rPr>
      <w:rFonts w:ascii="Arial" w:eastAsia="Cambria" w:hAnsi="Arial" w:cs="Arial"/>
      <w:color w:val="000000"/>
      <w:sz w:val="16"/>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wvapor.co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abbamedi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Vallee</dc:creator>
  <cp:lastModifiedBy>Richard Vallee</cp:lastModifiedBy>
  <cp:revision>8</cp:revision>
  <dcterms:created xsi:type="dcterms:W3CDTF">2015-04-20T20:24:00Z</dcterms:created>
  <dcterms:modified xsi:type="dcterms:W3CDTF">2015-04-21T13:09:00Z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22447450.1</vt:lpwstr>
  </property>
</Properties>
</file>